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85" w:rsidRDefault="00EF733C">
      <w:pPr>
        <w:spacing w:after="220" w:line="245" w:lineRule="auto"/>
        <w:ind w:left="0" w:right="9068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</w:p>
    <w:p w:rsidR="00253D85" w:rsidRDefault="00EF733C">
      <w:pPr>
        <w:spacing w:after="0" w:line="259" w:lineRule="auto"/>
        <w:ind w:right="64"/>
        <w:jc w:val="center"/>
      </w:pPr>
      <w:r>
        <w:rPr>
          <w:b/>
          <w:sz w:val="48"/>
        </w:rPr>
        <w:t xml:space="preserve">Sozial- und Bildungsfondsordnung </w:t>
      </w:r>
    </w:p>
    <w:p w:rsidR="00253D85" w:rsidRDefault="00EF733C">
      <w:pPr>
        <w:spacing w:after="0" w:line="259" w:lineRule="auto"/>
        <w:ind w:right="63"/>
        <w:jc w:val="center"/>
      </w:pPr>
      <w:r>
        <w:rPr>
          <w:b/>
          <w:sz w:val="48"/>
        </w:rPr>
        <w:t>(SBODS)</w:t>
      </w:r>
      <w:r>
        <w:rPr>
          <w:sz w:val="48"/>
        </w:rPr>
        <w:t xml:space="preserve"> </w:t>
      </w:r>
    </w:p>
    <w:p w:rsidR="00253D85" w:rsidRDefault="00EF733C">
      <w:pPr>
        <w:spacing w:after="0" w:line="250" w:lineRule="auto"/>
        <w:ind w:left="916" w:right="881"/>
        <w:jc w:val="center"/>
      </w:pPr>
      <w:r>
        <w:rPr>
          <w:sz w:val="32"/>
        </w:rPr>
        <w:t xml:space="preserve">der International Police </w:t>
      </w:r>
      <w:proofErr w:type="spellStart"/>
      <w:r>
        <w:rPr>
          <w:sz w:val="32"/>
        </w:rPr>
        <w:t>Association</w:t>
      </w:r>
      <w:proofErr w:type="spellEnd"/>
      <w:r>
        <w:rPr>
          <w:sz w:val="32"/>
        </w:rPr>
        <w:t xml:space="preserve"> (IPA), </w:t>
      </w:r>
      <w:proofErr w:type="spellStart"/>
      <w:r>
        <w:rPr>
          <w:sz w:val="32"/>
        </w:rPr>
        <w:t>Deutsche</w:t>
      </w:r>
      <w:proofErr w:type="spellEnd"/>
      <w:r>
        <w:rPr>
          <w:sz w:val="32"/>
        </w:rPr>
        <w:t xml:space="preserve"> Sektion e.V. </w:t>
      </w:r>
    </w:p>
    <w:p w:rsidR="00253D85" w:rsidRDefault="00EF733C">
      <w:pPr>
        <w:spacing w:after="0" w:line="250" w:lineRule="auto"/>
        <w:ind w:left="916" w:right="972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</wp:posOffset>
                </wp:positionH>
                <wp:positionV relativeFrom="paragraph">
                  <wp:posOffset>191310</wp:posOffset>
                </wp:positionV>
                <wp:extent cx="5760720" cy="57785"/>
                <wp:effectExtent l="0" t="0" r="0" b="0"/>
                <wp:wrapNone/>
                <wp:docPr id="3582" name="Group 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7785"/>
                          <a:chOff x="0" y="0"/>
                          <a:chExt cx="5760720" cy="5778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576072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57785">
                                <a:moveTo>
                                  <a:pt x="0" y="57785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82" style="width:453.6pt;height:4.54999pt;position:absolute;z-index:29;mso-position-horizontal-relative:text;mso-position-horizontal:absolute;margin-left:0.125999pt;mso-position-vertical-relative:text;margin-top:15.0638pt;" coordsize="57607,577">
                <v:shape id="Shape 35" style="position:absolute;width:57607;height:577;left:0;top:0;" coordsize="5760720,57785" path="m0,57785l576072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2"/>
        </w:rPr>
        <w:t>in der Fassung vom 20. April 2018</w:t>
      </w:r>
      <w:r>
        <w:rPr>
          <w:color w:val="FF0000"/>
          <w:sz w:val="32"/>
        </w:rPr>
        <w:t xml:space="preserve"> </w:t>
      </w:r>
    </w:p>
    <w:p w:rsidR="00253D85" w:rsidRDefault="00EF733C">
      <w:pPr>
        <w:spacing w:after="0" w:line="259" w:lineRule="auto"/>
        <w:ind w:left="0" w:firstLine="0"/>
        <w:jc w:val="center"/>
      </w:pPr>
      <w:r>
        <w:rPr>
          <w:sz w:val="22"/>
        </w:rPr>
        <w:t xml:space="preserve"> </w:t>
      </w:r>
    </w:p>
    <w:p w:rsidR="00253D85" w:rsidRDefault="00EF733C">
      <w:pPr>
        <w:spacing w:after="0" w:line="259" w:lineRule="auto"/>
        <w:ind w:left="0" w:firstLine="0"/>
        <w:jc w:val="center"/>
      </w:pPr>
      <w:r>
        <w:rPr>
          <w:sz w:val="22"/>
        </w:rPr>
        <w:t xml:space="preserve"> </w:t>
      </w:r>
    </w:p>
    <w:p w:rsidR="00253D85" w:rsidRDefault="00EF733C">
      <w:pPr>
        <w:spacing w:after="0" w:line="259" w:lineRule="auto"/>
        <w:ind w:left="0" w:firstLine="0"/>
        <w:jc w:val="center"/>
      </w:pPr>
      <w:r>
        <w:rPr>
          <w:sz w:val="22"/>
        </w:rPr>
        <w:t xml:space="preserve"> </w:t>
      </w:r>
    </w:p>
    <w:p w:rsidR="00253D85" w:rsidRDefault="00EF733C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60720" cy="5673725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253D85" w:rsidRDefault="00EF733C">
      <w:pPr>
        <w:spacing w:after="1732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53D85" w:rsidRDefault="00EF733C">
      <w:pPr>
        <w:spacing w:after="0" w:line="259" w:lineRule="auto"/>
        <w:ind w:left="0" w:right="63" w:firstLine="0"/>
        <w:jc w:val="center"/>
      </w:pPr>
      <w:r>
        <w:rPr>
          <w:sz w:val="22"/>
        </w:rPr>
        <w:lastRenderedPageBreak/>
        <w:t xml:space="preserve">- 1 - </w:t>
      </w:r>
    </w:p>
    <w:p w:rsidR="00253D85" w:rsidRDefault="00EF733C">
      <w:pPr>
        <w:pStyle w:val="berschrift1"/>
        <w:ind w:left="-5"/>
      </w:pPr>
      <w:r>
        <w:t xml:space="preserve">§ 1 - Geltungsbereich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Diese Sozial- </w:t>
      </w:r>
      <w:r>
        <w:t xml:space="preserve">und Bildungsfondsordnung gilt für den Bereich der International Police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Sektion e.V. (IPA </w:t>
      </w:r>
      <w:proofErr w:type="spellStart"/>
      <w:r>
        <w:t>Deutsche</w:t>
      </w:r>
      <w:proofErr w:type="spellEnd"/>
      <w:r>
        <w:t xml:space="preserve"> Sektion) und alle ihre Gliederungen.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pStyle w:val="berschrift1"/>
        <w:ind w:left="-5"/>
      </w:pPr>
      <w:r>
        <w:t xml:space="preserve">§ 2 - Definition </w:t>
      </w:r>
    </w:p>
    <w:p w:rsidR="00253D85" w:rsidRDefault="00EF733C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253D85" w:rsidRDefault="00EF733C">
      <w:pPr>
        <w:ind w:left="-5" w:right="36"/>
      </w:pPr>
      <w:r>
        <w:t xml:space="preserve">Die IPA </w:t>
      </w:r>
      <w:proofErr w:type="spellStart"/>
      <w:r>
        <w:t>Deutsche</w:t>
      </w:r>
      <w:proofErr w:type="spellEnd"/>
      <w:r>
        <w:t xml:space="preserve"> Sektion unterhält einen Sozialfonds, im Folgenden „Sozia</w:t>
      </w:r>
      <w:r>
        <w:t xml:space="preserve">l- und </w:t>
      </w:r>
    </w:p>
    <w:p w:rsidR="00253D85" w:rsidRDefault="00EF733C">
      <w:pPr>
        <w:ind w:left="-5" w:right="36"/>
      </w:pPr>
      <w:r>
        <w:t xml:space="preserve">Bildungsfonds“ genannt. Die Mittel des Sozial- und Bildungsfonds werden vom </w:t>
      </w:r>
    </w:p>
    <w:p w:rsidR="00253D85" w:rsidRDefault="00EF733C">
      <w:pPr>
        <w:ind w:left="-5" w:right="36"/>
      </w:pPr>
      <w:r>
        <w:t xml:space="preserve">Bundesvorstand (BV) IPA </w:t>
      </w:r>
      <w:proofErr w:type="spellStart"/>
      <w:r>
        <w:t>Deutsche</w:t>
      </w:r>
      <w:proofErr w:type="spellEnd"/>
      <w:r>
        <w:t xml:space="preserve"> Sektion verwaltet. Der BV überträgt die </w:t>
      </w:r>
    </w:p>
    <w:p w:rsidR="00253D85" w:rsidRDefault="00EF733C">
      <w:pPr>
        <w:ind w:left="-5" w:right="36"/>
      </w:pPr>
      <w:r>
        <w:t xml:space="preserve">Entscheidung über Zuwendungen zwischen den Bundesvorstandsitzungen auf den </w:t>
      </w:r>
    </w:p>
    <w:p w:rsidR="00253D85" w:rsidRDefault="00EF733C">
      <w:pPr>
        <w:ind w:left="-5" w:right="36"/>
      </w:pPr>
      <w:r>
        <w:t>Geschäftsführenden Bu</w:t>
      </w:r>
      <w:r>
        <w:t>ndesvorstand (GBV). Über die zwischenzeitlich getroffenen Entscheidungen berichtet der GBV auf der jeweils nächsten Bundesvorstandssitzung.  Auf Antrag von BV-Mitgliedern, deren Landesgruppen von einer Ablehnung eines Sozial- und Bildungsfondsantrags betro</w:t>
      </w:r>
      <w:r>
        <w:t xml:space="preserve">ffen sind, entscheidet der BV über den vom GBV abgelehnten Sozial- und Bildungsfondsantrag abschließend.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Über die Tätigkeiten im Zusammenhang mit dem Sozial- und Bildungsfonds der IPA </w:t>
      </w:r>
      <w:proofErr w:type="spellStart"/>
      <w:r>
        <w:t>Deutsche</w:t>
      </w:r>
      <w:proofErr w:type="spellEnd"/>
      <w:r>
        <w:t xml:space="preserve"> Sektion wird jährlich in ihrer Mitgliederzeitschrift berich</w:t>
      </w:r>
      <w:r>
        <w:t xml:space="preserve">tet. Diese Zeitschrift geht jedem Mitglied und somit auch jedem Versicherten aus der IPA </w:t>
      </w:r>
    </w:p>
    <w:p w:rsidR="00253D85" w:rsidRDefault="00EF733C">
      <w:pPr>
        <w:ind w:left="-5" w:right="36"/>
      </w:pPr>
      <w:r>
        <w:t xml:space="preserve">Gruppenversicherung zu. Damit wird jedes Mitglied über die Verwendung der, dem </w:t>
      </w:r>
    </w:p>
    <w:p w:rsidR="00253D85" w:rsidRDefault="00EF733C">
      <w:pPr>
        <w:ind w:left="-5" w:right="36"/>
      </w:pPr>
      <w:r>
        <w:t xml:space="preserve">Sozial- und Bildungsfonds der IPA </w:t>
      </w:r>
      <w:proofErr w:type="spellStart"/>
      <w:r>
        <w:t>Deutsche</w:t>
      </w:r>
      <w:proofErr w:type="spellEnd"/>
      <w:r>
        <w:t xml:space="preserve"> Sektion zugewendeten Mittel, informiert.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pStyle w:val="berschrift1"/>
        <w:ind w:left="-5"/>
      </w:pPr>
      <w:r>
        <w:t xml:space="preserve">§ 3 – Mittelherkunft und Mittelverwaltung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Die Mittel des Sozial- und Bildungsfonds der IPA </w:t>
      </w:r>
      <w:proofErr w:type="spellStart"/>
      <w:r>
        <w:t>Deutsche</w:t>
      </w:r>
      <w:proofErr w:type="spellEnd"/>
      <w:r>
        <w:t xml:space="preserve"> Sektion stammen überwiegend aus Grundüberschussanteilen der IPA-Gruppenversicherung, welche die IPA </w:t>
      </w:r>
      <w:proofErr w:type="spellStart"/>
      <w:r>
        <w:t>Deutsche</w:t>
      </w:r>
      <w:proofErr w:type="spellEnd"/>
      <w:r>
        <w:t xml:space="preserve"> Sektion über die DBV - </w:t>
      </w:r>
      <w:r>
        <w:t xml:space="preserve">Winterthur Versicherung AG ihren Mitgliedern anbietet.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>Im Aufnahmeantrag der von den Mitgliedern der IPA-DS e.V. abgeschlossenen Gruppensterbegeldversicherung ist eine Bestimmung enthalten, dass die Versicherungsnehmer den ihnen zustehenden Grundübersc</w:t>
      </w:r>
      <w:r>
        <w:t xml:space="preserve">hussanteil aus der Gruppenversicherung dem Sozial- und Bildungsfonds der IPA </w:t>
      </w:r>
      <w:proofErr w:type="spellStart"/>
      <w:r>
        <w:t>Deutsche</w:t>
      </w:r>
      <w:proofErr w:type="spellEnd"/>
      <w:r>
        <w:t xml:space="preserve"> Sektion zuwenden. 70% der </w:t>
      </w:r>
    </w:p>
    <w:p w:rsidR="00253D85" w:rsidRDefault="00EF733C">
      <w:pPr>
        <w:ind w:left="-5" w:right="36"/>
      </w:pPr>
      <w:r>
        <w:t xml:space="preserve">Zuwendungen fließen dem Sozial- und Bildungsfonds der IPA </w:t>
      </w:r>
      <w:proofErr w:type="spellStart"/>
      <w:r>
        <w:t>Deutsche</w:t>
      </w:r>
      <w:proofErr w:type="spellEnd"/>
      <w:r>
        <w:t xml:space="preserve"> Sektion zu, 30% dienen zur Deckung der Verwaltungskosten der Gruppensterbege</w:t>
      </w:r>
      <w:r>
        <w:t xml:space="preserve">ld-  und Gruppenrentenversicherung.  </w:t>
      </w:r>
    </w:p>
    <w:p w:rsidR="00253D85" w:rsidRDefault="00EF733C">
      <w:pPr>
        <w:ind w:left="-5" w:right="36"/>
      </w:pPr>
      <w:r>
        <w:t xml:space="preserve">Übersteigende Verwaltungskosten werden aus dem Vereinsvermögen entnommen.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Die Mittel des Sozial- und Bildungsfonds sind bei einem deutschen Geldinstitut in nicht spekulativer Form anzulegen.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lastRenderedPageBreak/>
        <w:t xml:space="preserve">Die IPA </w:t>
      </w:r>
      <w:proofErr w:type="spellStart"/>
      <w:r>
        <w:t>Deutsche</w:t>
      </w:r>
      <w:proofErr w:type="spellEnd"/>
      <w:r>
        <w:t xml:space="preserve"> Sektion soll die Mittel des Sozial- und Bildungsfonds vorrangig an Polizeibedienstete des Inlands oder deren Angehörige zuwenden. In Katastrophenfällen ist auch eine Zuwendung an ausländische Polizeibedienstete möglich. </w:t>
      </w:r>
    </w:p>
    <w:p w:rsidR="00253D85" w:rsidRDefault="00EF733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 </w:t>
      </w:r>
    </w:p>
    <w:p w:rsidR="00253D85" w:rsidRDefault="00EF733C">
      <w:pPr>
        <w:pStyle w:val="berschrift1"/>
        <w:ind w:left="-5"/>
      </w:pPr>
      <w:r>
        <w:t>§ 4 - Hilfelei</w:t>
      </w:r>
      <w:r>
        <w:t xml:space="preserve">stung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Zuwendungen aus dem Sozial- und Bildungsfonds der IPA </w:t>
      </w:r>
      <w:proofErr w:type="spellStart"/>
      <w:r>
        <w:t>Deutsche</w:t>
      </w:r>
      <w:proofErr w:type="spellEnd"/>
      <w:r>
        <w:t xml:space="preserve"> Sektion an Betroffene oder deren Angehörige können bei unverschuldeten, außergewöhnlichen und unabwendbaren finanziellen Belastungen erfolgen, die im Einzelfall den Betrag von 10.000 </w:t>
      </w:r>
      <w:r>
        <w:t xml:space="preserve">€ nicht übersteigen soll. Der Bundesvorstand kann im Ausnahmefall eine höhere Summe bis maximal 20.000 Euro beschließen.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Im Grundsatz dient die Hilfeleistung für Fälle im Inland.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>Zur Feststellung dieser unabwendbaren Belastung, die durch eigenes Ve</w:t>
      </w:r>
      <w:r>
        <w:t>rmögen nicht oder nur unzureichend abgedeckt werden kann, ist u. a. zu überprüfen, ob andere Versorgungsträger (Arbeitgeber, Versicherungen, zum Schadensersatz verpflichtete juristische oder natürliche Personen, pp.) Teile der erforderlichen Hilfsleistunge</w:t>
      </w:r>
      <w:r>
        <w:t>n oder deren Höhe insgesamt übernehmen</w:t>
      </w:r>
      <w:r>
        <w:rPr>
          <w:i/>
        </w:rPr>
        <w:t xml:space="preserve">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pStyle w:val="berschrift1"/>
        <w:ind w:left="-5"/>
      </w:pPr>
      <w:r>
        <w:t xml:space="preserve">§ 5 - Antrag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Jeder Antrag auf Zuwendung aus dem Sozial- und Bildungsfonds IPA </w:t>
      </w:r>
      <w:proofErr w:type="spellStart"/>
      <w:r>
        <w:t>Deutsche</w:t>
      </w:r>
      <w:proofErr w:type="spellEnd"/>
      <w:r>
        <w:t xml:space="preserve"> Sektion ist von einer ihrer Gliederungen an den GBV zu stellen, hinsichtlich der Zulässigkeit und Notwendigkeit im Antr</w:t>
      </w:r>
      <w:r>
        <w:t xml:space="preserve">agsformular zu begründen und von zwei Vorstandmitgliedern zu unterschreiben. Wird der Antrag von einer Verbindungsstelle gestellt, ist die Zustimmung der Landesgruppe erforderlich. </w:t>
      </w:r>
    </w:p>
    <w:p w:rsidR="00253D85" w:rsidRDefault="00EF733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53D85" w:rsidRDefault="00EF733C">
      <w:pPr>
        <w:pStyle w:val="berschrift1"/>
        <w:ind w:left="-5"/>
      </w:pPr>
      <w:r>
        <w:t xml:space="preserve">§ 6 – Stipendien, Hospitationen, Austauschprogramm und Bildungsarbeit </w:t>
      </w: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1" w:line="239" w:lineRule="auto"/>
        <w:ind w:left="-5" w:right="86"/>
        <w:jc w:val="both"/>
      </w:pPr>
      <w:r>
        <w:t xml:space="preserve">Aus dem Sozial- und Bildungsfonds der IPA </w:t>
      </w:r>
      <w:proofErr w:type="spellStart"/>
      <w:r>
        <w:t>Deutsche</w:t>
      </w:r>
      <w:proofErr w:type="spellEnd"/>
      <w:r>
        <w:t xml:space="preserve"> Sektion können die Bildungsarbeit und Stipendien gemäß der §§ 6 und 7 der Geschäftsordnung der IPA </w:t>
      </w:r>
      <w:proofErr w:type="spellStart"/>
      <w:r>
        <w:t>Deutsche</w:t>
      </w:r>
      <w:proofErr w:type="spellEnd"/>
      <w:r>
        <w:t xml:space="preserve"> Sektion unterstützt werden.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Die Förderhöhe bei Stipendien (auch Studien- </w:t>
      </w:r>
      <w:r>
        <w:t xml:space="preserve">und Bildungsreisen) und Hospitationen soll grundsätzlich 15% der Gesamtkosten nicht übersteigen. Pro Mitglied kann eine erneute Förderung grundsätzlich erst nach Ablauf von 5 Jahren gewährt werden.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>Die Höhe der Förderung beim polizeilichen Austauschpro</w:t>
      </w:r>
      <w:r>
        <w:t xml:space="preserve">gramm wird durch den GBV festgelegt.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1" w:line="239" w:lineRule="auto"/>
        <w:ind w:left="-5" w:right="279"/>
        <w:jc w:val="both"/>
      </w:pPr>
      <w:r>
        <w:t xml:space="preserve">Die Bildungsarbeit der IPA </w:t>
      </w:r>
      <w:proofErr w:type="spellStart"/>
      <w:r>
        <w:t>Deutsche</w:t>
      </w:r>
      <w:proofErr w:type="spellEnd"/>
      <w:r>
        <w:t xml:space="preserve"> Sektion ist in einer Projektstruktur vorzulegen und kann auf Beschluss des Bundesvorstands durch den Sozial- und Bildungsfonds finanziert werden.  </w:t>
      </w:r>
    </w:p>
    <w:p w:rsidR="00253D85" w:rsidRDefault="00EF733C">
      <w:pPr>
        <w:ind w:left="-5" w:right="36"/>
      </w:pPr>
      <w:r>
        <w:lastRenderedPageBreak/>
        <w:t>Seminare der Mitglieder beim IB</w:t>
      </w:r>
      <w:r>
        <w:t xml:space="preserve">Z Schloss </w:t>
      </w:r>
      <w:proofErr w:type="spellStart"/>
      <w:r>
        <w:t>Gimborn</w:t>
      </w:r>
      <w:proofErr w:type="spellEnd"/>
      <w:r>
        <w:t xml:space="preserve"> können auf Beschluss des BV aus dem Sozial- und Bildungsfonds gefördert werden.  </w:t>
      </w:r>
    </w:p>
    <w:p w:rsidR="00253D85" w:rsidRDefault="00EF733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3D85" w:rsidRDefault="00EF733C">
      <w:pPr>
        <w:pStyle w:val="berschrift1"/>
        <w:ind w:left="-5"/>
      </w:pPr>
      <w:r>
        <w:t xml:space="preserve">§ 7 – Präventionsarbeit </w:t>
      </w:r>
    </w:p>
    <w:p w:rsidR="00253D85" w:rsidRDefault="00EF733C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253D85" w:rsidRDefault="00EF733C">
      <w:pPr>
        <w:ind w:left="-5" w:right="36"/>
      </w:pPr>
      <w:r>
        <w:t xml:space="preserve">Finanzierungen von Präventionsprojekten und Mitgliedsbeiträge für Vereine </w:t>
      </w:r>
      <w:proofErr w:type="gramStart"/>
      <w:r>
        <w:t xml:space="preserve">die  </w:t>
      </w:r>
      <w:r>
        <w:t>Präventionsarbeit</w:t>
      </w:r>
      <w:proofErr w:type="gramEnd"/>
      <w:r>
        <w:t xml:space="preserve"> leisten können aus dem Sozial- und Bildungsfonds mit Einzelfallbeschluss des BV</w:t>
      </w:r>
      <w:r>
        <w:rPr>
          <w:b/>
          <w:color w:val="FF0000"/>
        </w:rPr>
        <w:t xml:space="preserve"> </w:t>
      </w:r>
      <w:r>
        <w:t xml:space="preserve">beglichen werden. </w:t>
      </w:r>
    </w:p>
    <w:p w:rsidR="00253D85" w:rsidRDefault="00EF733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53D85" w:rsidRDefault="00EF733C">
      <w:pPr>
        <w:pStyle w:val="berschrift1"/>
        <w:ind w:left="-5"/>
      </w:pPr>
      <w:r>
        <w:t xml:space="preserve">§ 8 – Zuständigkeiten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Der Sozial- und Bildungsfonds der IPA </w:t>
      </w:r>
      <w:proofErr w:type="spellStart"/>
      <w:r>
        <w:t>Deutsche</w:t>
      </w:r>
      <w:proofErr w:type="spellEnd"/>
      <w:r>
        <w:t xml:space="preserve"> Sektion wird von dem Schatzmeister Soziales- der IPA </w:t>
      </w:r>
      <w:proofErr w:type="spellStart"/>
      <w:r>
        <w:t>Deutsche</w:t>
      </w:r>
      <w:proofErr w:type="spellEnd"/>
      <w:r>
        <w:t xml:space="preserve"> Se</w:t>
      </w:r>
      <w:r>
        <w:t xml:space="preserve">ktion verwaltet. Dieser wird vertreten von dem Schatzmeister -Finanzen- der IPA </w:t>
      </w:r>
      <w:proofErr w:type="spellStart"/>
      <w:r>
        <w:t>Deutsche</w:t>
      </w:r>
      <w:proofErr w:type="spellEnd"/>
      <w:r>
        <w:t xml:space="preserve"> Sektion.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pStyle w:val="berschrift1"/>
        <w:ind w:left="-5"/>
      </w:pPr>
      <w:r>
        <w:t xml:space="preserve">§ 9 - Rechtsanspruch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Ein Rechtsanspruch auf die Zuwendung aus dem Sozial- und Bildungsfonds der IPA </w:t>
      </w:r>
      <w:proofErr w:type="spellStart"/>
      <w:r>
        <w:t>Deutsche</w:t>
      </w:r>
      <w:proofErr w:type="spellEnd"/>
      <w:r>
        <w:t xml:space="preserve"> Sektion besteht nicht.  </w:t>
      </w:r>
    </w:p>
    <w:p w:rsidR="00253D85" w:rsidRDefault="00EF733C">
      <w:pPr>
        <w:ind w:left="-5" w:right="36"/>
      </w:pPr>
      <w:r>
        <w:t xml:space="preserve">Sollten falsche Angaben zur Zuwendung geführt haben, ist die Zuwendung zurückzufordern.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pStyle w:val="berschrift1"/>
        <w:ind w:left="-5"/>
      </w:pPr>
      <w:r>
        <w:t xml:space="preserve">§ 10 - Inkrafttreten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 xml:space="preserve">Der BV der IPA </w:t>
      </w:r>
      <w:proofErr w:type="spellStart"/>
      <w:r>
        <w:t>Deutsche</w:t>
      </w:r>
      <w:proofErr w:type="spellEnd"/>
      <w:r>
        <w:t xml:space="preserve"> Sektion hat auf seiner Sitzung am 20.04.2018 in Fulda diese Sozial- und Bildungsfondsordnung beschlossen. Sie tri</w:t>
      </w:r>
      <w:r>
        <w:t xml:space="preserve">tt mit dem Beschluss in Kraft.  Ältere Fassungen der Sozialfondsordnung treten gleichzeitig außer Kraft. 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spacing w:after="0" w:line="259" w:lineRule="auto"/>
        <w:ind w:left="0" w:firstLine="0"/>
      </w:pPr>
      <w:r>
        <w:t xml:space="preserve"> </w:t>
      </w:r>
    </w:p>
    <w:p w:rsidR="00253D85" w:rsidRDefault="00EF733C">
      <w:pPr>
        <w:ind w:left="-5" w:right="36"/>
      </w:pPr>
      <w:r>
        <w:t>Bexbach, den 20. April 2018</w:t>
      </w:r>
      <w:r>
        <w:rPr>
          <w:b/>
          <w:color w:val="FF0000"/>
          <w:sz w:val="22"/>
        </w:rPr>
        <w:t xml:space="preserve"> </w:t>
      </w:r>
    </w:p>
    <w:sectPr w:rsidR="00253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55" w:bottom="710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33C" w:rsidRDefault="00EF733C">
      <w:pPr>
        <w:spacing w:after="0" w:line="240" w:lineRule="auto"/>
      </w:pPr>
      <w:r>
        <w:separator/>
      </w:r>
    </w:p>
  </w:endnote>
  <w:endnote w:type="continuationSeparator" w:id="0">
    <w:p w:rsidR="00EF733C" w:rsidRDefault="00EF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5" w:rsidRDefault="00EF733C">
    <w:pPr>
      <w:spacing w:after="0" w:line="259" w:lineRule="auto"/>
      <w:ind w:left="0" w:right="63" w:firstLine="0"/>
      <w:jc w:val="center"/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 </w:t>
    </w:r>
  </w:p>
  <w:p w:rsidR="00253D85" w:rsidRDefault="00EF733C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5" w:rsidRDefault="00EF733C">
    <w:pPr>
      <w:spacing w:after="0" w:line="259" w:lineRule="auto"/>
      <w:ind w:left="0" w:right="63" w:firstLine="0"/>
      <w:jc w:val="center"/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 </w:t>
    </w:r>
  </w:p>
  <w:p w:rsidR="00253D85" w:rsidRDefault="00EF733C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5" w:rsidRDefault="00253D8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33C" w:rsidRDefault="00EF733C">
      <w:pPr>
        <w:spacing w:after="0" w:line="240" w:lineRule="auto"/>
      </w:pPr>
      <w:r>
        <w:separator/>
      </w:r>
    </w:p>
  </w:footnote>
  <w:footnote w:type="continuationSeparator" w:id="0">
    <w:p w:rsidR="00EF733C" w:rsidRDefault="00EF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5" w:rsidRDefault="00EF733C">
    <w:pPr>
      <w:spacing w:after="168" w:line="241" w:lineRule="auto"/>
      <w:ind w:left="0" w:right="261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824484</wp:posOffset>
              </wp:positionV>
              <wp:extent cx="6130290" cy="9525"/>
              <wp:effectExtent l="0" t="0" r="0" b="0"/>
              <wp:wrapSquare wrapText="bothSides"/>
              <wp:docPr id="4324" name="Group 4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525"/>
                        <a:chOff x="0" y="0"/>
                        <a:chExt cx="6130290" cy="9525"/>
                      </a:xfrm>
                    </wpg:grpSpPr>
                    <wps:wsp>
                      <wps:cNvPr id="4325" name="Shape 4325"/>
                      <wps:cNvSpPr/>
                      <wps:spPr>
                        <a:xfrm>
                          <a:off x="0" y="0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4" style="width:482.7pt;height:0.75pt;position:absolute;mso-position-horizontal-relative:page;mso-position-horizontal:absolute;margin-left:70.95pt;mso-position-vertical-relative:page;margin-top:64.92pt;" coordsize="61302,95">
              <v:shape id="Shape 4325" style="position:absolute;width:61302;height:0;left:0;top:0;" coordsize="6130290,0" path="m0,0l6130290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Sozial- und Bildungsfondsordnung (</w:t>
    </w:r>
    <w:proofErr w:type="gramStart"/>
    <w:r>
      <w:rPr>
        <w:b/>
      </w:rPr>
      <w:t xml:space="preserve">SBODS)  </w:t>
    </w:r>
    <w:r>
      <w:t>d</w:t>
    </w:r>
    <w:r>
      <w:t>er</w:t>
    </w:r>
    <w:proofErr w:type="gramEnd"/>
    <w:r>
      <w:t xml:space="preserve"> International Police </w:t>
    </w:r>
    <w:proofErr w:type="spellStart"/>
    <w:r>
      <w:t>Association</w:t>
    </w:r>
    <w:proofErr w:type="spellEnd"/>
    <w:r>
      <w:t xml:space="preserve"> (IPA) Deutsche Sektion e.V.</w:t>
    </w:r>
    <w:r>
      <w:rPr>
        <w:sz w:val="22"/>
      </w:rPr>
      <w:t xml:space="preserve"> </w:t>
    </w:r>
  </w:p>
  <w:p w:rsidR="00253D85" w:rsidRDefault="00EF733C">
    <w:pPr>
      <w:spacing w:after="0" w:line="259" w:lineRule="auto"/>
      <w:ind w:left="0" w:firstLine="0"/>
    </w:pPr>
    <w:r>
      <w:rPr>
        <w:sz w:val="22"/>
      </w:rPr>
      <w:t xml:space="preserve"> </w:t>
    </w:r>
  </w:p>
  <w:p w:rsidR="00253D85" w:rsidRDefault="00EF733C">
    <w:pPr>
      <w:spacing w:after="0" w:line="259" w:lineRule="auto"/>
      <w:ind w:left="461" w:firstLine="0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5" w:rsidRDefault="00EF733C">
    <w:pPr>
      <w:spacing w:after="168" w:line="241" w:lineRule="auto"/>
      <w:ind w:left="0" w:right="261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824484</wp:posOffset>
              </wp:positionV>
              <wp:extent cx="6130290" cy="9525"/>
              <wp:effectExtent l="0" t="0" r="0" b="0"/>
              <wp:wrapSquare wrapText="bothSides"/>
              <wp:docPr id="4289" name="Group 4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525"/>
                        <a:chOff x="0" y="0"/>
                        <a:chExt cx="6130290" cy="9525"/>
                      </a:xfrm>
                    </wpg:grpSpPr>
                    <wps:wsp>
                      <wps:cNvPr id="4290" name="Shape 4290"/>
                      <wps:cNvSpPr/>
                      <wps:spPr>
                        <a:xfrm>
                          <a:off x="0" y="0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89" style="width:482.7pt;height:0.75pt;position:absolute;mso-position-horizontal-relative:page;mso-position-horizontal:absolute;margin-left:70.95pt;mso-position-vertical-relative:page;margin-top:64.92pt;" coordsize="61302,95">
              <v:shape id="Shape 4290" style="position:absolute;width:61302;height:0;left:0;top:0;" coordsize="6130290,0" path="m0,0l6130290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Sozial- und Bildungsfondsordnung (</w:t>
    </w:r>
    <w:proofErr w:type="gramStart"/>
    <w:r>
      <w:rPr>
        <w:b/>
      </w:rPr>
      <w:t xml:space="preserve">SBODS)  </w:t>
    </w:r>
    <w:r>
      <w:t>der</w:t>
    </w:r>
    <w:proofErr w:type="gramEnd"/>
    <w:r>
      <w:t xml:space="preserve"> International Police </w:t>
    </w:r>
    <w:proofErr w:type="spellStart"/>
    <w:r>
      <w:t>Association</w:t>
    </w:r>
    <w:proofErr w:type="spellEnd"/>
    <w:r>
      <w:t xml:space="preserve"> (IPA) Deutsche Sektion e.V.</w:t>
    </w:r>
    <w:r>
      <w:rPr>
        <w:sz w:val="22"/>
      </w:rPr>
      <w:t xml:space="preserve"> </w:t>
    </w:r>
  </w:p>
  <w:p w:rsidR="00253D85" w:rsidRDefault="00EF733C">
    <w:pPr>
      <w:spacing w:after="0" w:line="259" w:lineRule="auto"/>
      <w:ind w:left="0" w:firstLine="0"/>
    </w:pPr>
    <w:r>
      <w:rPr>
        <w:sz w:val="22"/>
      </w:rPr>
      <w:t xml:space="preserve"> </w:t>
    </w:r>
  </w:p>
  <w:p w:rsidR="00253D85" w:rsidRDefault="00EF733C">
    <w:pPr>
      <w:spacing w:after="0" w:line="259" w:lineRule="auto"/>
      <w:ind w:left="461" w:firstLine="0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5" w:rsidRDefault="00253D85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85"/>
    <w:rsid w:val="00253D85"/>
    <w:rsid w:val="009A0E53"/>
    <w:rsid w:val="00E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64BF8-DD62-4E65-8898-153EC76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3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Hartmann</dc:creator>
  <cp:keywords/>
  <cp:lastModifiedBy>lito11@web.de</cp:lastModifiedBy>
  <cp:revision>2</cp:revision>
  <dcterms:created xsi:type="dcterms:W3CDTF">2018-06-21T17:45:00Z</dcterms:created>
  <dcterms:modified xsi:type="dcterms:W3CDTF">2018-06-21T17:45:00Z</dcterms:modified>
</cp:coreProperties>
</file>